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8828"/>
      </w:tblGrid>
      <w:tr w:rsidR="00135D19" w:rsidTr="00410D42">
        <w:tc>
          <w:tcPr>
            <w:tcW w:w="9962" w:type="dxa"/>
          </w:tcPr>
          <w:p w:rsidR="00135D19" w:rsidRDefault="00135D19" w:rsidP="00410D42">
            <w:pPr>
              <w:spacing w:after="120"/>
              <w:jc w:val="both"/>
              <w:rPr>
                <w:rFonts w:ascii="Calibri" w:eastAsia="Cambria" w:hAnsi="Calibri" w:cs="Calibri"/>
                <w:sz w:val="24"/>
                <w:szCs w:val="24"/>
              </w:rPr>
            </w:pPr>
            <w:r>
              <w:rPr>
                <w:rFonts w:ascii="Calibri" w:eastAsia="Cambria" w:hAnsi="Calibri" w:cs="Calibri"/>
                <w:sz w:val="24"/>
                <w:szCs w:val="24"/>
              </w:rPr>
              <w:t xml:space="preserve">Nombre del Comité:  </w:t>
            </w:r>
            <w:r w:rsidRPr="00926590">
              <w:rPr>
                <w:rFonts w:ascii="Calibri" w:eastAsia="Cambria" w:hAnsi="Calibri" w:cs="Calibri"/>
                <w:sz w:val="24"/>
                <w:szCs w:val="24"/>
              </w:rPr>
              <w:t xml:space="preserve">Comité </w:t>
            </w:r>
            <w:r>
              <w:rPr>
                <w:rFonts w:ascii="Calibri" w:eastAsia="Cambria" w:hAnsi="Calibri" w:cs="Calibri"/>
                <w:sz w:val="24"/>
                <w:szCs w:val="24"/>
              </w:rPr>
              <w:t xml:space="preserve">de </w:t>
            </w:r>
            <w:r w:rsidRPr="007F2AC2">
              <w:rPr>
                <w:rFonts w:ascii="Calibri" w:eastAsia="Cambria" w:hAnsi="Calibri" w:cs="Calibri"/>
                <w:sz w:val="24"/>
                <w:szCs w:val="24"/>
              </w:rPr>
              <w:t>Desarrollo de Instrumentos para la Planeación del Territorio</w:t>
            </w:r>
          </w:p>
        </w:tc>
      </w:tr>
    </w:tbl>
    <w:p w:rsidR="00135D19" w:rsidRDefault="00135D19" w:rsidP="00135D19">
      <w:pPr>
        <w:spacing w:after="120" w:line="240" w:lineRule="auto"/>
        <w:jc w:val="both"/>
        <w:rPr>
          <w:rFonts w:ascii="Calibri" w:eastAsia="Cambria" w:hAnsi="Calibri" w:cs="Calibri"/>
          <w:sz w:val="24"/>
          <w:szCs w:val="24"/>
        </w:rPr>
      </w:pPr>
    </w:p>
    <w:tbl>
      <w:tblPr>
        <w:tblStyle w:val="Tablaconcuadrcula"/>
        <w:tblW w:w="0" w:type="auto"/>
        <w:tblLook w:val="04A0" w:firstRow="1" w:lastRow="0" w:firstColumn="1" w:lastColumn="0" w:noHBand="0" w:noVBand="1"/>
      </w:tblPr>
      <w:tblGrid>
        <w:gridCol w:w="2336"/>
        <w:gridCol w:w="6492"/>
      </w:tblGrid>
      <w:tr w:rsidR="00135D19" w:rsidTr="00410D42">
        <w:tc>
          <w:tcPr>
            <w:tcW w:w="2547" w:type="dxa"/>
          </w:tcPr>
          <w:p w:rsidR="00135D19" w:rsidRDefault="00135D19" w:rsidP="00410D42">
            <w:pPr>
              <w:spacing w:after="120"/>
              <w:jc w:val="both"/>
              <w:rPr>
                <w:rFonts w:ascii="Calibri" w:eastAsia="Cambria" w:hAnsi="Calibri" w:cs="Calibri"/>
                <w:sz w:val="24"/>
                <w:szCs w:val="24"/>
              </w:rPr>
            </w:pPr>
            <w:r>
              <w:rPr>
                <w:rFonts w:ascii="Calibri" w:eastAsia="Cambria" w:hAnsi="Calibri" w:cs="Calibri"/>
                <w:sz w:val="24"/>
                <w:szCs w:val="24"/>
              </w:rPr>
              <w:t xml:space="preserve">Periodo </w:t>
            </w:r>
          </w:p>
        </w:tc>
        <w:tc>
          <w:tcPr>
            <w:tcW w:w="7415" w:type="dxa"/>
          </w:tcPr>
          <w:p w:rsidR="00135D19" w:rsidRPr="007F2AC2" w:rsidRDefault="00135D19" w:rsidP="00410D42">
            <w:pPr>
              <w:spacing w:after="120"/>
              <w:jc w:val="both"/>
              <w:rPr>
                <w:rFonts w:eastAsia="Cambria" w:cs="Calibri"/>
                <w:sz w:val="24"/>
                <w:szCs w:val="24"/>
              </w:rPr>
            </w:pPr>
            <w:r w:rsidRPr="007F2AC2">
              <w:rPr>
                <w:sz w:val="24"/>
                <w:szCs w:val="24"/>
              </w:rPr>
              <w:t>Enero – Junio 2014</w:t>
            </w:r>
          </w:p>
        </w:tc>
      </w:tr>
      <w:tr w:rsidR="00135D19" w:rsidTr="00410D42">
        <w:tc>
          <w:tcPr>
            <w:tcW w:w="2547" w:type="dxa"/>
          </w:tcPr>
          <w:p w:rsidR="00135D19" w:rsidRDefault="00135D19" w:rsidP="00410D42">
            <w:pPr>
              <w:spacing w:after="120"/>
              <w:jc w:val="both"/>
              <w:rPr>
                <w:rFonts w:ascii="Calibri" w:eastAsia="Cambria" w:hAnsi="Calibri" w:cs="Calibri"/>
                <w:sz w:val="24"/>
                <w:szCs w:val="24"/>
              </w:rPr>
            </w:pPr>
            <w:r>
              <w:rPr>
                <w:rFonts w:ascii="Calibri" w:eastAsia="Cambria" w:hAnsi="Calibri" w:cs="Calibri"/>
                <w:sz w:val="24"/>
                <w:szCs w:val="24"/>
              </w:rPr>
              <w:t>Temas y acciones abordados</w:t>
            </w:r>
          </w:p>
        </w:tc>
        <w:tc>
          <w:tcPr>
            <w:tcW w:w="7415" w:type="dxa"/>
          </w:tcPr>
          <w:p w:rsidR="00135D19" w:rsidRPr="007F2AC2" w:rsidRDefault="00135D19" w:rsidP="00135D19">
            <w:pPr>
              <w:numPr>
                <w:ilvl w:val="0"/>
                <w:numId w:val="1"/>
              </w:numPr>
              <w:spacing w:after="0" w:line="240" w:lineRule="auto"/>
              <w:rPr>
                <w:sz w:val="24"/>
                <w:szCs w:val="24"/>
              </w:rPr>
            </w:pPr>
            <w:r w:rsidRPr="007F2AC2">
              <w:rPr>
                <w:sz w:val="24"/>
                <w:szCs w:val="24"/>
              </w:rPr>
              <w:t xml:space="preserve">Integrar instrumentos actuales en práctica </w:t>
            </w:r>
          </w:p>
          <w:p w:rsidR="00135D19" w:rsidRPr="007F2AC2" w:rsidRDefault="00135D19" w:rsidP="00135D19">
            <w:pPr>
              <w:numPr>
                <w:ilvl w:val="0"/>
                <w:numId w:val="1"/>
              </w:numPr>
              <w:spacing w:after="0" w:line="240" w:lineRule="auto"/>
              <w:rPr>
                <w:sz w:val="24"/>
                <w:szCs w:val="24"/>
              </w:rPr>
            </w:pPr>
            <w:r w:rsidRPr="007F2AC2">
              <w:rPr>
                <w:sz w:val="24"/>
                <w:szCs w:val="24"/>
              </w:rPr>
              <w:t>Analizar los instrumentos actuales</w:t>
            </w:r>
          </w:p>
          <w:p w:rsidR="00135D19" w:rsidRPr="007F2AC2" w:rsidRDefault="00135D19" w:rsidP="00135D19">
            <w:pPr>
              <w:numPr>
                <w:ilvl w:val="0"/>
                <w:numId w:val="1"/>
              </w:numPr>
              <w:spacing w:after="0" w:line="240" w:lineRule="auto"/>
              <w:rPr>
                <w:sz w:val="24"/>
                <w:szCs w:val="24"/>
              </w:rPr>
            </w:pPr>
            <w:r w:rsidRPr="007F2AC2">
              <w:rPr>
                <w:sz w:val="24"/>
                <w:szCs w:val="24"/>
              </w:rPr>
              <w:t>Proponer nuevos instrumentos</w:t>
            </w:r>
          </w:p>
          <w:p w:rsidR="00135D19" w:rsidRPr="007F2AC2" w:rsidRDefault="00135D19" w:rsidP="00135D19">
            <w:pPr>
              <w:numPr>
                <w:ilvl w:val="0"/>
                <w:numId w:val="1"/>
              </w:numPr>
              <w:spacing w:after="0" w:line="240" w:lineRule="auto"/>
              <w:rPr>
                <w:sz w:val="24"/>
                <w:szCs w:val="24"/>
              </w:rPr>
            </w:pPr>
            <w:r w:rsidRPr="007F2AC2">
              <w:rPr>
                <w:sz w:val="24"/>
                <w:szCs w:val="24"/>
              </w:rPr>
              <w:t>Propuesta de corresponsabilidad de los instrumentos</w:t>
            </w:r>
          </w:p>
          <w:p w:rsidR="00135D19" w:rsidRDefault="00135D19" w:rsidP="00410D42">
            <w:pPr>
              <w:spacing w:after="120"/>
              <w:jc w:val="both"/>
              <w:rPr>
                <w:rFonts w:ascii="Calibri" w:eastAsia="Cambria" w:hAnsi="Calibri" w:cs="Calibri"/>
                <w:sz w:val="24"/>
                <w:szCs w:val="24"/>
              </w:rPr>
            </w:pPr>
          </w:p>
        </w:tc>
      </w:tr>
      <w:tr w:rsidR="00135D19" w:rsidTr="00410D42">
        <w:tc>
          <w:tcPr>
            <w:tcW w:w="2547" w:type="dxa"/>
          </w:tcPr>
          <w:p w:rsidR="00135D19" w:rsidRDefault="00135D19" w:rsidP="00410D42">
            <w:pPr>
              <w:spacing w:after="120"/>
              <w:jc w:val="both"/>
              <w:rPr>
                <w:rFonts w:ascii="Calibri" w:eastAsia="Cambria" w:hAnsi="Calibri" w:cs="Calibri"/>
                <w:sz w:val="24"/>
                <w:szCs w:val="24"/>
              </w:rPr>
            </w:pPr>
            <w:r>
              <w:rPr>
                <w:rFonts w:ascii="Calibri" w:eastAsia="Cambria" w:hAnsi="Calibri" w:cs="Calibri"/>
                <w:sz w:val="24"/>
                <w:szCs w:val="24"/>
              </w:rPr>
              <w:t>Participantes</w:t>
            </w:r>
          </w:p>
        </w:tc>
        <w:tc>
          <w:tcPr>
            <w:tcW w:w="7415" w:type="dxa"/>
          </w:tcPr>
          <w:p w:rsidR="00135D19" w:rsidRPr="00BF1A79" w:rsidRDefault="00135D19" w:rsidP="00410D42">
            <w:pPr>
              <w:spacing w:after="120"/>
              <w:jc w:val="both"/>
              <w:rPr>
                <w:rFonts w:ascii="Calibri" w:eastAsia="Cambria" w:hAnsi="Calibri" w:cs="Calibri"/>
                <w:sz w:val="24"/>
                <w:szCs w:val="24"/>
              </w:rPr>
            </w:pPr>
            <w:r w:rsidRPr="00BF1A79">
              <w:rPr>
                <w:rFonts w:ascii="Calibri" w:eastAsia="Cambria" w:hAnsi="Calibri" w:cs="Calibri"/>
                <w:sz w:val="24"/>
                <w:szCs w:val="24"/>
              </w:rPr>
              <w:t>Presidente: C.P. Juan Carlos Rodríguez García, Secretario de Gestión Urbanística y Ordenamiento Territorial del Gobierno de Aguascalientes</w:t>
            </w:r>
          </w:p>
          <w:p w:rsidR="00135D19" w:rsidRPr="00BF1A79" w:rsidRDefault="00135D19" w:rsidP="00410D42">
            <w:pPr>
              <w:spacing w:after="120"/>
              <w:jc w:val="both"/>
              <w:rPr>
                <w:rFonts w:ascii="Calibri" w:eastAsia="Cambria" w:hAnsi="Calibri" w:cs="Calibri"/>
                <w:sz w:val="24"/>
                <w:szCs w:val="24"/>
              </w:rPr>
            </w:pPr>
            <w:r w:rsidRPr="00BF1A79">
              <w:rPr>
                <w:rFonts w:ascii="Calibri" w:eastAsia="Cambria" w:hAnsi="Calibri" w:cs="Calibri"/>
                <w:sz w:val="24"/>
                <w:szCs w:val="24"/>
              </w:rPr>
              <w:t xml:space="preserve">Secretario técnico: Dr. Jorge </w:t>
            </w:r>
            <w:proofErr w:type="spellStart"/>
            <w:r w:rsidRPr="00BF1A79">
              <w:rPr>
                <w:rFonts w:ascii="Calibri" w:eastAsia="Cambria" w:hAnsi="Calibri" w:cs="Calibri"/>
                <w:sz w:val="24"/>
                <w:szCs w:val="24"/>
              </w:rPr>
              <w:t>Wolpert</w:t>
            </w:r>
            <w:proofErr w:type="spellEnd"/>
            <w:r w:rsidRPr="00BF1A79">
              <w:rPr>
                <w:rFonts w:ascii="Calibri" w:eastAsia="Cambria" w:hAnsi="Calibri" w:cs="Calibri"/>
                <w:sz w:val="24"/>
                <w:szCs w:val="24"/>
              </w:rPr>
              <w:t xml:space="preserve"> Kuri, Director General de Desarrollo Urbano, Suelo y Vivienda, SEDATU.</w:t>
            </w:r>
          </w:p>
          <w:p w:rsidR="00135D19" w:rsidRPr="00BF1A79" w:rsidRDefault="00135D19" w:rsidP="00410D42">
            <w:pPr>
              <w:spacing w:after="120"/>
              <w:jc w:val="both"/>
              <w:rPr>
                <w:rFonts w:ascii="Calibri" w:eastAsia="Cambria" w:hAnsi="Calibri" w:cs="Calibri"/>
                <w:sz w:val="24"/>
                <w:szCs w:val="24"/>
              </w:rPr>
            </w:pPr>
            <w:r w:rsidRPr="00BF1A79">
              <w:rPr>
                <w:rFonts w:ascii="Calibri" w:eastAsia="Cambria" w:hAnsi="Calibri" w:cs="Calibri"/>
                <w:sz w:val="24"/>
                <w:szCs w:val="24"/>
              </w:rPr>
              <w:t>Integrantes:</w:t>
            </w:r>
          </w:p>
          <w:p w:rsidR="00135D19" w:rsidRPr="00BF1A79" w:rsidRDefault="00135D19" w:rsidP="00410D42">
            <w:pPr>
              <w:spacing w:after="120"/>
              <w:ind w:left="510"/>
              <w:jc w:val="both"/>
              <w:rPr>
                <w:rFonts w:ascii="Calibri" w:eastAsia="Cambria" w:hAnsi="Calibri" w:cs="Calibri"/>
                <w:sz w:val="24"/>
                <w:szCs w:val="24"/>
              </w:rPr>
            </w:pPr>
            <w:r w:rsidRPr="00BF1A79">
              <w:rPr>
                <w:rFonts w:ascii="Calibri" w:eastAsia="Cambria" w:hAnsi="Calibri" w:cs="Calibri"/>
                <w:sz w:val="24"/>
                <w:szCs w:val="24"/>
              </w:rPr>
              <w:t>•</w:t>
            </w:r>
            <w:r w:rsidRPr="00BF1A79">
              <w:rPr>
                <w:rFonts w:ascii="Calibri" w:eastAsia="Cambria" w:hAnsi="Calibri" w:cs="Calibri"/>
                <w:sz w:val="24"/>
                <w:szCs w:val="24"/>
              </w:rPr>
              <w:tab/>
              <w:t>Arq. Joaquín Álvarez Ordoñez, Consultor</w:t>
            </w:r>
          </w:p>
          <w:p w:rsidR="00135D19" w:rsidRPr="00BF1A79" w:rsidRDefault="00135D19" w:rsidP="00410D42">
            <w:pPr>
              <w:spacing w:after="120"/>
              <w:ind w:left="510"/>
              <w:jc w:val="both"/>
              <w:rPr>
                <w:rFonts w:ascii="Calibri" w:eastAsia="Cambria" w:hAnsi="Calibri" w:cs="Calibri"/>
                <w:sz w:val="24"/>
                <w:szCs w:val="24"/>
              </w:rPr>
            </w:pPr>
            <w:r w:rsidRPr="00BF1A79">
              <w:rPr>
                <w:rFonts w:ascii="Calibri" w:eastAsia="Cambria" w:hAnsi="Calibri" w:cs="Calibri"/>
                <w:sz w:val="24"/>
                <w:szCs w:val="24"/>
              </w:rPr>
              <w:t>•</w:t>
            </w:r>
            <w:r w:rsidRPr="00BF1A79">
              <w:rPr>
                <w:rFonts w:ascii="Calibri" w:eastAsia="Cambria" w:hAnsi="Calibri" w:cs="Calibri"/>
                <w:sz w:val="24"/>
                <w:szCs w:val="24"/>
              </w:rPr>
              <w:tab/>
              <w:t>Dr. José Luis Fernández Zayas, Investigador UNAM</w:t>
            </w:r>
          </w:p>
          <w:p w:rsidR="00135D19" w:rsidRPr="00BF1A79" w:rsidRDefault="00135D19" w:rsidP="00410D42">
            <w:pPr>
              <w:spacing w:after="120"/>
              <w:ind w:left="510"/>
              <w:jc w:val="both"/>
              <w:rPr>
                <w:rFonts w:ascii="Calibri" w:eastAsia="Cambria" w:hAnsi="Calibri" w:cs="Calibri"/>
                <w:sz w:val="24"/>
                <w:szCs w:val="24"/>
              </w:rPr>
            </w:pPr>
            <w:r w:rsidRPr="00BF1A79">
              <w:rPr>
                <w:rFonts w:ascii="Calibri" w:eastAsia="Cambria" w:hAnsi="Calibri" w:cs="Calibri"/>
                <w:sz w:val="24"/>
                <w:szCs w:val="24"/>
              </w:rPr>
              <w:t>•</w:t>
            </w:r>
            <w:r w:rsidRPr="00BF1A79">
              <w:rPr>
                <w:rFonts w:ascii="Calibri" w:eastAsia="Cambria" w:hAnsi="Calibri" w:cs="Calibri"/>
                <w:sz w:val="24"/>
                <w:szCs w:val="24"/>
              </w:rPr>
              <w:tab/>
              <w:t>Mtro. Jesús Alcántara Núñez, Director General de la Comisión para la Regularización de la Tenencia de la Tierra</w:t>
            </w:r>
          </w:p>
          <w:p w:rsidR="00135D19" w:rsidRPr="00BF1A79" w:rsidRDefault="00135D19" w:rsidP="00410D42">
            <w:pPr>
              <w:spacing w:after="120"/>
              <w:ind w:left="510"/>
              <w:jc w:val="both"/>
              <w:rPr>
                <w:rFonts w:ascii="Calibri" w:eastAsia="Cambria" w:hAnsi="Calibri" w:cs="Calibri"/>
                <w:sz w:val="24"/>
                <w:szCs w:val="24"/>
              </w:rPr>
            </w:pPr>
            <w:r w:rsidRPr="00BF1A79">
              <w:rPr>
                <w:rFonts w:ascii="Calibri" w:eastAsia="Cambria" w:hAnsi="Calibri" w:cs="Calibri"/>
                <w:sz w:val="24"/>
                <w:szCs w:val="24"/>
              </w:rPr>
              <w:t>•</w:t>
            </w:r>
            <w:r w:rsidRPr="00BF1A79">
              <w:rPr>
                <w:rFonts w:ascii="Calibri" w:eastAsia="Cambria" w:hAnsi="Calibri" w:cs="Calibri"/>
                <w:sz w:val="24"/>
                <w:szCs w:val="24"/>
              </w:rPr>
              <w:tab/>
              <w:t xml:space="preserve">Lic. Beatriz </w:t>
            </w:r>
            <w:proofErr w:type="spellStart"/>
            <w:r w:rsidRPr="00BF1A79">
              <w:rPr>
                <w:rFonts w:ascii="Calibri" w:eastAsia="Cambria" w:hAnsi="Calibri" w:cs="Calibri"/>
                <w:sz w:val="24"/>
                <w:szCs w:val="24"/>
              </w:rPr>
              <w:t>Bugeda</w:t>
            </w:r>
            <w:proofErr w:type="spellEnd"/>
            <w:r w:rsidRPr="00BF1A79">
              <w:rPr>
                <w:rFonts w:ascii="Calibri" w:eastAsia="Cambria" w:hAnsi="Calibri" w:cs="Calibri"/>
                <w:sz w:val="24"/>
                <w:szCs w:val="24"/>
              </w:rPr>
              <w:t>, Directora General de Políticas para el Cambio Climático, SEMARNAT</w:t>
            </w:r>
          </w:p>
          <w:p w:rsidR="00135D19" w:rsidRPr="00BF1A79" w:rsidRDefault="00135D19" w:rsidP="00410D42">
            <w:pPr>
              <w:spacing w:after="120"/>
              <w:ind w:left="510"/>
              <w:jc w:val="both"/>
              <w:rPr>
                <w:rFonts w:ascii="Calibri" w:eastAsia="Cambria" w:hAnsi="Calibri" w:cs="Calibri"/>
                <w:sz w:val="24"/>
                <w:szCs w:val="24"/>
              </w:rPr>
            </w:pPr>
            <w:r w:rsidRPr="00BF1A79">
              <w:rPr>
                <w:rFonts w:ascii="Calibri" w:eastAsia="Cambria" w:hAnsi="Calibri" w:cs="Calibri"/>
                <w:sz w:val="24"/>
                <w:szCs w:val="24"/>
              </w:rPr>
              <w:t>•</w:t>
            </w:r>
            <w:r w:rsidRPr="00BF1A79">
              <w:rPr>
                <w:rFonts w:ascii="Calibri" w:eastAsia="Cambria" w:hAnsi="Calibri" w:cs="Calibri"/>
                <w:sz w:val="24"/>
                <w:szCs w:val="24"/>
              </w:rPr>
              <w:tab/>
              <w:t xml:space="preserve">Ing. Fernando Ramos, Director General, </w:t>
            </w:r>
            <w:proofErr w:type="spellStart"/>
            <w:r w:rsidRPr="00BF1A79">
              <w:rPr>
                <w:rFonts w:ascii="Calibri" w:eastAsia="Cambria" w:hAnsi="Calibri" w:cs="Calibri"/>
                <w:sz w:val="24"/>
                <w:szCs w:val="24"/>
              </w:rPr>
              <w:t>Enervalia</w:t>
            </w:r>
            <w:proofErr w:type="spellEnd"/>
          </w:p>
          <w:p w:rsidR="00135D19" w:rsidRPr="00BF1A79" w:rsidRDefault="00135D19" w:rsidP="00410D42">
            <w:pPr>
              <w:spacing w:after="120"/>
              <w:ind w:left="510"/>
              <w:jc w:val="both"/>
              <w:rPr>
                <w:rFonts w:ascii="Calibri" w:eastAsia="Cambria" w:hAnsi="Calibri" w:cs="Calibri"/>
                <w:sz w:val="24"/>
                <w:szCs w:val="24"/>
              </w:rPr>
            </w:pPr>
            <w:r w:rsidRPr="00BF1A79">
              <w:rPr>
                <w:rFonts w:ascii="Calibri" w:eastAsia="Cambria" w:hAnsi="Calibri" w:cs="Calibri"/>
                <w:sz w:val="24"/>
                <w:szCs w:val="24"/>
              </w:rPr>
              <w:t>•</w:t>
            </w:r>
            <w:r w:rsidRPr="00BF1A79">
              <w:rPr>
                <w:rFonts w:ascii="Calibri" w:eastAsia="Cambria" w:hAnsi="Calibri" w:cs="Calibri"/>
                <w:sz w:val="24"/>
                <w:szCs w:val="24"/>
              </w:rPr>
              <w:tab/>
            </w:r>
            <w:proofErr w:type="spellStart"/>
            <w:r w:rsidRPr="00BF1A79">
              <w:rPr>
                <w:rFonts w:ascii="Calibri" w:eastAsia="Cambria" w:hAnsi="Calibri" w:cs="Calibri"/>
                <w:sz w:val="24"/>
                <w:szCs w:val="24"/>
              </w:rPr>
              <w:t>Foulques</w:t>
            </w:r>
            <w:proofErr w:type="spellEnd"/>
            <w:r w:rsidRPr="00BF1A79">
              <w:rPr>
                <w:rFonts w:ascii="Calibri" w:eastAsia="Cambria" w:hAnsi="Calibri" w:cs="Calibri"/>
                <w:sz w:val="24"/>
                <w:szCs w:val="24"/>
              </w:rPr>
              <w:t xml:space="preserve"> </w:t>
            </w:r>
            <w:proofErr w:type="spellStart"/>
            <w:r w:rsidRPr="00BF1A79">
              <w:rPr>
                <w:rFonts w:ascii="Calibri" w:eastAsia="Cambria" w:hAnsi="Calibri" w:cs="Calibri"/>
                <w:sz w:val="24"/>
                <w:szCs w:val="24"/>
              </w:rPr>
              <w:t>Chombart</w:t>
            </w:r>
            <w:proofErr w:type="spellEnd"/>
            <w:r w:rsidRPr="00BF1A79">
              <w:rPr>
                <w:rFonts w:ascii="Calibri" w:eastAsia="Cambria" w:hAnsi="Calibri" w:cs="Calibri"/>
                <w:sz w:val="24"/>
                <w:szCs w:val="24"/>
              </w:rPr>
              <w:t xml:space="preserve"> de </w:t>
            </w:r>
            <w:proofErr w:type="spellStart"/>
            <w:r w:rsidRPr="00BF1A79">
              <w:rPr>
                <w:rFonts w:ascii="Calibri" w:eastAsia="Cambria" w:hAnsi="Calibri" w:cs="Calibri"/>
                <w:sz w:val="24"/>
                <w:szCs w:val="24"/>
              </w:rPr>
              <w:t>Lauwe</w:t>
            </w:r>
            <w:proofErr w:type="spellEnd"/>
            <w:r w:rsidRPr="00BF1A79">
              <w:rPr>
                <w:rFonts w:ascii="Calibri" w:eastAsia="Cambria" w:hAnsi="Calibri" w:cs="Calibri"/>
                <w:sz w:val="24"/>
                <w:szCs w:val="24"/>
              </w:rPr>
              <w:t>, Agencia Francesa para el Desarrollo</w:t>
            </w:r>
          </w:p>
          <w:p w:rsidR="00135D19" w:rsidRPr="00BF1A79" w:rsidRDefault="00135D19" w:rsidP="00410D42">
            <w:pPr>
              <w:spacing w:after="120"/>
              <w:ind w:left="510"/>
              <w:jc w:val="both"/>
              <w:rPr>
                <w:rFonts w:ascii="Calibri" w:eastAsia="Cambria" w:hAnsi="Calibri" w:cs="Calibri"/>
                <w:sz w:val="24"/>
                <w:szCs w:val="24"/>
              </w:rPr>
            </w:pPr>
            <w:r w:rsidRPr="00BF1A79">
              <w:rPr>
                <w:rFonts w:ascii="Calibri" w:eastAsia="Cambria" w:hAnsi="Calibri" w:cs="Calibri"/>
                <w:sz w:val="24"/>
                <w:szCs w:val="24"/>
              </w:rPr>
              <w:t>•</w:t>
            </w:r>
            <w:r w:rsidRPr="00BF1A79">
              <w:rPr>
                <w:rFonts w:ascii="Calibri" w:eastAsia="Cambria" w:hAnsi="Calibri" w:cs="Calibri"/>
                <w:sz w:val="24"/>
                <w:szCs w:val="24"/>
              </w:rPr>
              <w:tab/>
              <w:t xml:space="preserve">Lic. Ángel </w:t>
            </w:r>
            <w:proofErr w:type="spellStart"/>
            <w:r w:rsidRPr="00BF1A79">
              <w:rPr>
                <w:rFonts w:ascii="Calibri" w:eastAsia="Cambria" w:hAnsi="Calibri" w:cs="Calibri"/>
                <w:sz w:val="24"/>
                <w:szCs w:val="24"/>
              </w:rPr>
              <w:t>Islava</w:t>
            </w:r>
            <w:proofErr w:type="spellEnd"/>
            <w:r w:rsidRPr="00BF1A79">
              <w:rPr>
                <w:rFonts w:ascii="Calibri" w:eastAsia="Cambria" w:hAnsi="Calibri" w:cs="Calibri"/>
                <w:sz w:val="24"/>
                <w:szCs w:val="24"/>
              </w:rPr>
              <w:t xml:space="preserve"> Tamayo, Director General del Fideicomiso Fondo Nacional de Habitaciones Populares, FONHAPO</w:t>
            </w:r>
          </w:p>
          <w:p w:rsidR="00135D19" w:rsidRPr="00BF1A79" w:rsidRDefault="00135D19" w:rsidP="00410D42">
            <w:pPr>
              <w:spacing w:after="120"/>
              <w:ind w:left="510"/>
              <w:jc w:val="both"/>
              <w:rPr>
                <w:rFonts w:ascii="Calibri" w:eastAsia="Cambria" w:hAnsi="Calibri" w:cs="Calibri"/>
                <w:sz w:val="24"/>
                <w:szCs w:val="24"/>
              </w:rPr>
            </w:pPr>
            <w:r w:rsidRPr="00BF1A79">
              <w:rPr>
                <w:rFonts w:ascii="Calibri" w:eastAsia="Cambria" w:hAnsi="Calibri" w:cs="Calibri"/>
                <w:sz w:val="24"/>
                <w:szCs w:val="24"/>
              </w:rPr>
              <w:t>•</w:t>
            </w:r>
            <w:r w:rsidRPr="00BF1A79">
              <w:rPr>
                <w:rFonts w:ascii="Calibri" w:eastAsia="Cambria" w:hAnsi="Calibri" w:cs="Calibri"/>
                <w:sz w:val="24"/>
                <w:szCs w:val="24"/>
              </w:rPr>
              <w:tab/>
              <w:t xml:space="preserve">Arq. Julio García </w:t>
            </w:r>
            <w:proofErr w:type="spellStart"/>
            <w:r w:rsidRPr="00BF1A79">
              <w:rPr>
                <w:rFonts w:ascii="Calibri" w:eastAsia="Cambria" w:hAnsi="Calibri" w:cs="Calibri"/>
                <w:sz w:val="24"/>
                <w:szCs w:val="24"/>
              </w:rPr>
              <w:t>Coll</w:t>
            </w:r>
            <w:proofErr w:type="spellEnd"/>
            <w:r w:rsidRPr="00BF1A79">
              <w:rPr>
                <w:rFonts w:ascii="Calibri" w:eastAsia="Cambria" w:hAnsi="Calibri" w:cs="Calibri"/>
                <w:sz w:val="24"/>
                <w:szCs w:val="24"/>
              </w:rPr>
              <w:t>, Dirección General de Desarrollo Metropolitano, SEDATU.</w:t>
            </w:r>
          </w:p>
          <w:p w:rsidR="00135D19" w:rsidRPr="00BF1A79" w:rsidRDefault="00135D19" w:rsidP="00410D42">
            <w:pPr>
              <w:spacing w:after="120"/>
              <w:ind w:left="510"/>
              <w:jc w:val="both"/>
              <w:rPr>
                <w:rFonts w:ascii="Calibri" w:eastAsia="Cambria" w:hAnsi="Calibri" w:cs="Calibri"/>
                <w:sz w:val="24"/>
                <w:szCs w:val="24"/>
              </w:rPr>
            </w:pPr>
            <w:r w:rsidRPr="00BF1A79">
              <w:rPr>
                <w:rFonts w:ascii="Calibri" w:eastAsia="Cambria" w:hAnsi="Calibri" w:cs="Calibri"/>
                <w:sz w:val="24"/>
                <w:szCs w:val="24"/>
              </w:rPr>
              <w:t>•</w:t>
            </w:r>
            <w:r w:rsidRPr="00BF1A79">
              <w:rPr>
                <w:rFonts w:ascii="Calibri" w:eastAsia="Cambria" w:hAnsi="Calibri" w:cs="Calibri"/>
                <w:sz w:val="24"/>
                <w:szCs w:val="24"/>
              </w:rPr>
              <w:tab/>
              <w:t>Mtra. Gabriela Brindis.- Asesora del C. Secretario de la SEDATU</w:t>
            </w:r>
          </w:p>
          <w:p w:rsidR="00135D19" w:rsidRDefault="00135D19" w:rsidP="00410D42">
            <w:pPr>
              <w:spacing w:after="120"/>
              <w:ind w:left="510"/>
              <w:jc w:val="both"/>
              <w:rPr>
                <w:rFonts w:ascii="Calibri" w:eastAsia="Cambria" w:hAnsi="Calibri" w:cs="Calibri"/>
                <w:sz w:val="24"/>
                <w:szCs w:val="24"/>
              </w:rPr>
            </w:pPr>
            <w:r w:rsidRPr="00BF1A79">
              <w:rPr>
                <w:rFonts w:ascii="Calibri" w:eastAsia="Cambria" w:hAnsi="Calibri" w:cs="Calibri"/>
                <w:sz w:val="24"/>
                <w:szCs w:val="24"/>
              </w:rPr>
              <w:lastRenderedPageBreak/>
              <w:t>•</w:t>
            </w:r>
            <w:r w:rsidRPr="00BF1A79">
              <w:rPr>
                <w:rFonts w:ascii="Calibri" w:eastAsia="Cambria" w:hAnsi="Calibri" w:cs="Calibri"/>
                <w:sz w:val="24"/>
                <w:szCs w:val="24"/>
              </w:rPr>
              <w:tab/>
              <w:t>Mtra. Dolores Franco, Coordinadora Nacional del Programa de ONU para Asentamientos Humanos en México, ONU Hábitat</w:t>
            </w:r>
          </w:p>
          <w:p w:rsidR="00135D19" w:rsidRDefault="00135D19" w:rsidP="00410D42">
            <w:pPr>
              <w:spacing w:after="120"/>
              <w:ind w:left="510"/>
              <w:jc w:val="both"/>
              <w:rPr>
                <w:rFonts w:ascii="Calibri" w:eastAsia="Cambria" w:hAnsi="Calibri" w:cs="Calibri"/>
                <w:sz w:val="24"/>
                <w:szCs w:val="24"/>
              </w:rPr>
            </w:pPr>
          </w:p>
        </w:tc>
      </w:tr>
      <w:tr w:rsidR="00135D19" w:rsidTr="00410D42">
        <w:tc>
          <w:tcPr>
            <w:tcW w:w="2547" w:type="dxa"/>
          </w:tcPr>
          <w:p w:rsidR="00135D19" w:rsidRDefault="00135D19" w:rsidP="00410D42">
            <w:pPr>
              <w:spacing w:after="120"/>
              <w:jc w:val="both"/>
              <w:rPr>
                <w:rFonts w:ascii="Calibri" w:eastAsia="Cambria" w:hAnsi="Calibri" w:cs="Calibri"/>
                <w:sz w:val="24"/>
                <w:szCs w:val="24"/>
              </w:rPr>
            </w:pPr>
            <w:r>
              <w:rPr>
                <w:rFonts w:ascii="Calibri" w:eastAsia="Cambria" w:hAnsi="Calibri" w:cs="Calibri"/>
                <w:sz w:val="24"/>
                <w:szCs w:val="24"/>
              </w:rPr>
              <w:lastRenderedPageBreak/>
              <w:t>Gestión</w:t>
            </w:r>
          </w:p>
        </w:tc>
        <w:tc>
          <w:tcPr>
            <w:tcW w:w="7415" w:type="dxa"/>
          </w:tcPr>
          <w:p w:rsidR="00135D19" w:rsidRPr="00BF1A79" w:rsidRDefault="00135D19" w:rsidP="00410D42">
            <w:pPr>
              <w:spacing w:after="120"/>
              <w:jc w:val="both"/>
              <w:rPr>
                <w:rFonts w:ascii="Calibri" w:eastAsia="Cambria" w:hAnsi="Calibri" w:cs="Calibri"/>
                <w:sz w:val="24"/>
                <w:szCs w:val="24"/>
              </w:rPr>
            </w:pPr>
            <w:r w:rsidRPr="00BF1A79">
              <w:rPr>
                <w:rFonts w:ascii="Calibri" w:eastAsia="Cambria" w:hAnsi="Calibri" w:cs="Calibri"/>
                <w:sz w:val="24"/>
                <w:szCs w:val="24"/>
              </w:rPr>
              <w:t>Se han desarrollado dos sesiones. En la primera además de definir por consenso el Programa Anual, se definió como primera tarea, recopilar el marco legal que regula los asentamientos humanos en las distintas entidades federativas, al ser este el instrumento normativo básico en la materia.</w:t>
            </w:r>
          </w:p>
          <w:p w:rsidR="00135D19" w:rsidRPr="00BF1A79" w:rsidRDefault="00135D19" w:rsidP="00410D42">
            <w:pPr>
              <w:spacing w:after="120"/>
              <w:jc w:val="both"/>
              <w:rPr>
                <w:rFonts w:ascii="Calibri" w:eastAsia="Cambria" w:hAnsi="Calibri" w:cs="Calibri"/>
                <w:sz w:val="24"/>
                <w:szCs w:val="24"/>
              </w:rPr>
            </w:pPr>
            <w:r w:rsidRPr="00BF1A79">
              <w:rPr>
                <w:rFonts w:ascii="Calibri" w:eastAsia="Cambria" w:hAnsi="Calibri" w:cs="Calibri"/>
                <w:sz w:val="24"/>
                <w:szCs w:val="24"/>
              </w:rPr>
              <w:t>Derivado de la anterior, se llevó a cabo dicha actividad y se distribuyó entre los integrantes del Comité, el compendio de leyes de las entidades federativas.</w:t>
            </w:r>
          </w:p>
          <w:p w:rsidR="00135D19" w:rsidRPr="00BF1A79" w:rsidRDefault="00135D19" w:rsidP="00410D42">
            <w:pPr>
              <w:spacing w:after="120"/>
              <w:jc w:val="both"/>
              <w:rPr>
                <w:rFonts w:ascii="Calibri" w:eastAsia="Cambria" w:hAnsi="Calibri" w:cs="Calibri"/>
                <w:sz w:val="24"/>
                <w:szCs w:val="24"/>
              </w:rPr>
            </w:pPr>
            <w:r w:rsidRPr="00BF1A79">
              <w:rPr>
                <w:rFonts w:ascii="Calibri" w:eastAsia="Cambria" w:hAnsi="Calibri" w:cs="Calibri"/>
                <w:sz w:val="24"/>
                <w:szCs w:val="24"/>
              </w:rPr>
              <w:t>En la segunda sesión se estableció como tema evaluar la situación que guarda</w:t>
            </w:r>
            <w:r>
              <w:rPr>
                <w:rFonts w:ascii="Calibri" w:eastAsia="Cambria" w:hAnsi="Calibri" w:cs="Calibri"/>
                <w:sz w:val="24"/>
                <w:szCs w:val="24"/>
              </w:rPr>
              <w:t>n</w:t>
            </w:r>
            <w:r w:rsidRPr="00BF1A79">
              <w:rPr>
                <w:rFonts w:ascii="Calibri" w:eastAsia="Cambria" w:hAnsi="Calibri" w:cs="Calibri"/>
                <w:sz w:val="24"/>
                <w:szCs w:val="24"/>
              </w:rPr>
              <w:t xml:space="preserve"> los instrumentos de planeación urbana (planes o programas de desarrollo urbano).</w:t>
            </w:r>
            <w:r>
              <w:rPr>
                <w:rFonts w:ascii="Calibri" w:eastAsia="Cambria" w:hAnsi="Calibri" w:cs="Calibri"/>
                <w:sz w:val="24"/>
                <w:szCs w:val="24"/>
              </w:rPr>
              <w:t xml:space="preserve"> </w:t>
            </w:r>
            <w:r w:rsidRPr="00BF1A79">
              <w:rPr>
                <w:rFonts w:ascii="Calibri" w:eastAsia="Cambria" w:hAnsi="Calibri" w:cs="Calibri"/>
                <w:sz w:val="24"/>
                <w:szCs w:val="24"/>
              </w:rPr>
              <w:t>Se acordó integrar el inventario de dicho instrumento para las 384 localidades que integran el Sistema Urbano Nacional.</w:t>
            </w:r>
          </w:p>
          <w:p w:rsidR="00135D19" w:rsidRPr="00BF1A79" w:rsidRDefault="00135D19" w:rsidP="00410D42">
            <w:pPr>
              <w:spacing w:after="120"/>
              <w:jc w:val="both"/>
              <w:rPr>
                <w:rFonts w:ascii="Calibri" w:eastAsia="Cambria" w:hAnsi="Calibri" w:cs="Calibri"/>
                <w:sz w:val="24"/>
                <w:szCs w:val="24"/>
              </w:rPr>
            </w:pPr>
            <w:r w:rsidRPr="00BF1A79">
              <w:rPr>
                <w:rFonts w:ascii="Calibri" w:eastAsia="Cambria" w:hAnsi="Calibri" w:cs="Calibri"/>
                <w:sz w:val="24"/>
                <w:szCs w:val="24"/>
              </w:rPr>
              <w:t>Esta tarea se encuentra en proceso y se estará ofreciendo el informe correspondiente en la próxima sesión que se prevé desarrollar en el mes de agosto.</w:t>
            </w:r>
          </w:p>
          <w:p w:rsidR="00135D19" w:rsidRDefault="00135D19" w:rsidP="00410D42">
            <w:pPr>
              <w:spacing w:after="120"/>
              <w:jc w:val="both"/>
              <w:rPr>
                <w:rFonts w:ascii="Calibri" w:eastAsia="Cambria" w:hAnsi="Calibri" w:cs="Calibri"/>
                <w:sz w:val="24"/>
                <w:szCs w:val="24"/>
              </w:rPr>
            </w:pPr>
            <w:r w:rsidRPr="00BF1A79">
              <w:rPr>
                <w:rFonts w:ascii="Calibri" w:eastAsia="Cambria" w:hAnsi="Calibri" w:cs="Calibri"/>
                <w:sz w:val="24"/>
                <w:szCs w:val="24"/>
              </w:rPr>
              <w:t>De igual forma se mencionó que luego de contar con el diagnóstico (</w:t>
            </w:r>
            <w:proofErr w:type="spellStart"/>
            <w:r w:rsidRPr="00BF1A79">
              <w:rPr>
                <w:rFonts w:ascii="Calibri" w:eastAsia="Cambria" w:hAnsi="Calibri" w:cs="Calibri"/>
                <w:sz w:val="24"/>
                <w:szCs w:val="24"/>
              </w:rPr>
              <w:t>numeralia</w:t>
            </w:r>
            <w:proofErr w:type="spellEnd"/>
            <w:r w:rsidRPr="00BF1A79">
              <w:rPr>
                <w:rFonts w:ascii="Calibri" w:eastAsia="Cambria" w:hAnsi="Calibri" w:cs="Calibri"/>
                <w:sz w:val="24"/>
                <w:szCs w:val="24"/>
              </w:rPr>
              <w:t>) de la situación que presentan los Programas de Desarrollo Urbano de las ciudades del país, se requiere implementar una estrategia que permita que dichos instrumentos al momento de ser actualizados cuenten con elementos normativos básicos para su aplicación eficiente. Para ello se integrará un directorio de las empresas consultoras, instituciones académicas y oficinas gubernamentales que pueden apoyar a los municipios en la actualización de sus programas y se propuso brindarles una capacitación y una posible certificación para que los programas que asesoren se alineen con la política del Gobierno de la República.</w:t>
            </w:r>
          </w:p>
          <w:p w:rsidR="00135D19" w:rsidRDefault="00135D19" w:rsidP="00410D42">
            <w:pPr>
              <w:spacing w:after="120"/>
              <w:jc w:val="both"/>
              <w:rPr>
                <w:rFonts w:ascii="Calibri" w:eastAsia="Cambria" w:hAnsi="Calibri" w:cs="Calibri"/>
                <w:sz w:val="24"/>
                <w:szCs w:val="24"/>
              </w:rPr>
            </w:pPr>
          </w:p>
        </w:tc>
      </w:tr>
      <w:tr w:rsidR="00135D19" w:rsidTr="00410D42">
        <w:tc>
          <w:tcPr>
            <w:tcW w:w="2547" w:type="dxa"/>
          </w:tcPr>
          <w:p w:rsidR="00135D19" w:rsidRDefault="00135D19" w:rsidP="00410D42">
            <w:pPr>
              <w:spacing w:after="120"/>
              <w:jc w:val="both"/>
              <w:rPr>
                <w:rFonts w:ascii="Calibri" w:eastAsia="Cambria" w:hAnsi="Calibri" w:cs="Calibri"/>
                <w:sz w:val="24"/>
                <w:szCs w:val="24"/>
              </w:rPr>
            </w:pPr>
            <w:r>
              <w:rPr>
                <w:rFonts w:ascii="Calibri" w:eastAsia="Cambria" w:hAnsi="Calibri" w:cs="Calibri"/>
                <w:sz w:val="24"/>
                <w:szCs w:val="24"/>
              </w:rPr>
              <w:lastRenderedPageBreak/>
              <w:t>Galería fotográfica</w:t>
            </w:r>
          </w:p>
        </w:tc>
        <w:tc>
          <w:tcPr>
            <w:tcW w:w="7415" w:type="dxa"/>
          </w:tcPr>
          <w:p w:rsidR="00135D19" w:rsidRDefault="00135D19" w:rsidP="00410D42">
            <w:pPr>
              <w:spacing w:after="120"/>
              <w:jc w:val="both"/>
              <w:rPr>
                <w:rFonts w:ascii="Calibri" w:eastAsia="Cambria" w:hAnsi="Calibri" w:cs="Calibri"/>
                <w:sz w:val="24"/>
                <w:szCs w:val="24"/>
              </w:rPr>
            </w:pPr>
            <w:r>
              <w:rPr>
                <w:rFonts w:ascii="Calibri" w:eastAsia="Cambria" w:hAnsi="Calibri" w:cs="Calibri"/>
                <w:sz w:val="24"/>
                <w:szCs w:val="24"/>
              </w:rPr>
              <w:t>No se anexa material fotográfico.</w:t>
            </w:r>
          </w:p>
          <w:p w:rsidR="00135D19" w:rsidRDefault="00135D19" w:rsidP="00410D42">
            <w:pPr>
              <w:spacing w:after="120"/>
              <w:jc w:val="both"/>
              <w:rPr>
                <w:rFonts w:ascii="Calibri" w:eastAsia="Cambria" w:hAnsi="Calibri" w:cs="Calibri"/>
                <w:sz w:val="24"/>
                <w:szCs w:val="24"/>
              </w:rPr>
            </w:pPr>
          </w:p>
        </w:tc>
      </w:tr>
      <w:tr w:rsidR="00135D19" w:rsidTr="00410D42">
        <w:tc>
          <w:tcPr>
            <w:tcW w:w="2547" w:type="dxa"/>
          </w:tcPr>
          <w:p w:rsidR="00135D19" w:rsidRDefault="00135D19" w:rsidP="00410D42">
            <w:pPr>
              <w:spacing w:after="120"/>
              <w:jc w:val="both"/>
              <w:rPr>
                <w:rFonts w:ascii="Calibri" w:eastAsia="Cambria" w:hAnsi="Calibri" w:cs="Calibri"/>
                <w:sz w:val="24"/>
                <w:szCs w:val="24"/>
              </w:rPr>
            </w:pPr>
            <w:r>
              <w:rPr>
                <w:rFonts w:ascii="Calibri" w:eastAsia="Cambria" w:hAnsi="Calibri" w:cs="Calibri"/>
                <w:sz w:val="24"/>
                <w:szCs w:val="24"/>
              </w:rPr>
              <w:t>Participación específica de los actores sociales</w:t>
            </w:r>
          </w:p>
        </w:tc>
        <w:tc>
          <w:tcPr>
            <w:tcW w:w="7415" w:type="dxa"/>
          </w:tcPr>
          <w:p w:rsidR="00135D19" w:rsidRPr="00BF1A79" w:rsidRDefault="00135D19" w:rsidP="00410D42">
            <w:pPr>
              <w:spacing w:after="120"/>
              <w:jc w:val="both"/>
              <w:rPr>
                <w:rFonts w:ascii="Calibri" w:eastAsia="Cambria" w:hAnsi="Calibri" w:cs="Calibri"/>
                <w:sz w:val="24"/>
                <w:szCs w:val="24"/>
              </w:rPr>
            </w:pPr>
            <w:r w:rsidRPr="00BF1A79">
              <w:rPr>
                <w:rFonts w:ascii="Calibri" w:eastAsia="Cambria" w:hAnsi="Calibri" w:cs="Calibri"/>
                <w:sz w:val="24"/>
                <w:szCs w:val="24"/>
              </w:rPr>
              <w:t>Los participantes han destacado la importancia de que exista un marco normativo de los asentamientos humanos y del desarrollo urbano actualizado, que permita regular de manera eficiente el crecimiento de las ciudades. De igual manera han señalado la importancia de que existan instrumentos de gestión del suelo y de fomento al desarrollo urbano</w:t>
            </w:r>
            <w:r>
              <w:rPr>
                <w:rFonts w:ascii="Calibri" w:eastAsia="Cambria" w:hAnsi="Calibri" w:cs="Calibri"/>
                <w:sz w:val="24"/>
                <w:szCs w:val="24"/>
              </w:rPr>
              <w:t>,</w:t>
            </w:r>
            <w:r w:rsidRPr="00BF1A79">
              <w:rPr>
                <w:rFonts w:ascii="Calibri" w:eastAsia="Cambria" w:hAnsi="Calibri" w:cs="Calibri"/>
                <w:sz w:val="24"/>
                <w:szCs w:val="24"/>
              </w:rPr>
              <w:t xml:space="preserve"> que posibiliten la generación de recursos para su financiamiento.</w:t>
            </w:r>
          </w:p>
          <w:p w:rsidR="00135D19" w:rsidRDefault="00135D19" w:rsidP="00410D42">
            <w:pPr>
              <w:spacing w:after="120"/>
              <w:jc w:val="both"/>
              <w:rPr>
                <w:rFonts w:ascii="Calibri" w:eastAsia="Cambria" w:hAnsi="Calibri" w:cs="Calibri"/>
                <w:sz w:val="24"/>
                <w:szCs w:val="24"/>
              </w:rPr>
            </w:pPr>
            <w:r w:rsidRPr="00BF1A79">
              <w:rPr>
                <w:rFonts w:ascii="Calibri" w:eastAsia="Cambria" w:hAnsi="Calibri" w:cs="Calibri"/>
                <w:sz w:val="24"/>
                <w:szCs w:val="24"/>
              </w:rPr>
              <w:t>Para ambos fines, es indispen</w:t>
            </w:r>
            <w:r>
              <w:rPr>
                <w:rFonts w:ascii="Calibri" w:eastAsia="Cambria" w:hAnsi="Calibri" w:cs="Calibri"/>
                <w:sz w:val="24"/>
                <w:szCs w:val="24"/>
              </w:rPr>
              <w:t>sable que los municipios cuenten</w:t>
            </w:r>
            <w:r w:rsidRPr="00BF1A79">
              <w:rPr>
                <w:rFonts w:ascii="Calibri" w:eastAsia="Cambria" w:hAnsi="Calibri" w:cs="Calibri"/>
                <w:sz w:val="24"/>
                <w:szCs w:val="24"/>
              </w:rPr>
              <w:t xml:space="preserve"> con programas de desarrollo urbano actualizados y sistemas de información modernos.</w:t>
            </w:r>
          </w:p>
          <w:p w:rsidR="00135D19" w:rsidRDefault="00135D19" w:rsidP="00410D42">
            <w:pPr>
              <w:spacing w:after="120"/>
              <w:jc w:val="both"/>
              <w:rPr>
                <w:rFonts w:ascii="Calibri" w:eastAsia="Cambria" w:hAnsi="Calibri" w:cs="Calibri"/>
                <w:sz w:val="24"/>
                <w:szCs w:val="24"/>
              </w:rPr>
            </w:pPr>
          </w:p>
        </w:tc>
      </w:tr>
      <w:tr w:rsidR="00135D19" w:rsidTr="00410D42">
        <w:tc>
          <w:tcPr>
            <w:tcW w:w="2547" w:type="dxa"/>
          </w:tcPr>
          <w:p w:rsidR="00135D19" w:rsidRDefault="00135D19" w:rsidP="00410D42">
            <w:pPr>
              <w:spacing w:after="120"/>
              <w:jc w:val="both"/>
              <w:rPr>
                <w:rFonts w:ascii="Calibri" w:eastAsia="Cambria" w:hAnsi="Calibri" w:cs="Calibri"/>
                <w:sz w:val="24"/>
                <w:szCs w:val="24"/>
              </w:rPr>
            </w:pPr>
            <w:r>
              <w:rPr>
                <w:rFonts w:ascii="Calibri" w:eastAsia="Cambria" w:hAnsi="Calibri" w:cs="Calibri"/>
                <w:sz w:val="24"/>
                <w:szCs w:val="24"/>
              </w:rPr>
              <w:t>Atención y resultados de la institución</w:t>
            </w:r>
          </w:p>
        </w:tc>
        <w:tc>
          <w:tcPr>
            <w:tcW w:w="7415" w:type="dxa"/>
          </w:tcPr>
          <w:p w:rsidR="00135D19" w:rsidRDefault="00135D19" w:rsidP="00410D42">
            <w:pPr>
              <w:spacing w:after="120"/>
              <w:jc w:val="both"/>
              <w:rPr>
                <w:rFonts w:ascii="Calibri" w:eastAsia="Cambria" w:hAnsi="Calibri" w:cs="Calibri"/>
                <w:sz w:val="24"/>
                <w:szCs w:val="24"/>
              </w:rPr>
            </w:pPr>
            <w:r w:rsidRPr="00AF5332">
              <w:rPr>
                <w:rFonts w:ascii="Calibri" w:eastAsia="Cambria" w:hAnsi="Calibri" w:cs="Calibri"/>
                <w:sz w:val="24"/>
                <w:szCs w:val="24"/>
              </w:rPr>
              <w:t>La SEDATU da acompañamiento al trabajo de este comité y analizará los productos que genere para socializarlos entre los municipios.</w:t>
            </w:r>
          </w:p>
          <w:p w:rsidR="00135D19" w:rsidRDefault="00135D19" w:rsidP="00410D42">
            <w:pPr>
              <w:spacing w:after="120"/>
              <w:jc w:val="both"/>
              <w:rPr>
                <w:rFonts w:ascii="Calibri" w:eastAsia="Cambria" w:hAnsi="Calibri" w:cs="Calibri"/>
                <w:sz w:val="24"/>
                <w:szCs w:val="24"/>
              </w:rPr>
            </w:pPr>
            <w:bookmarkStart w:id="0" w:name="_GoBack"/>
            <w:bookmarkEnd w:id="0"/>
          </w:p>
        </w:tc>
      </w:tr>
    </w:tbl>
    <w:p w:rsidR="00E21548" w:rsidRDefault="00E21548" w:rsidP="00E21548">
      <w:pPr>
        <w:spacing w:after="120" w:line="240" w:lineRule="auto"/>
        <w:jc w:val="both"/>
        <w:rPr>
          <w:rFonts w:ascii="Calibri" w:eastAsia="Cambria" w:hAnsi="Calibri" w:cs="Calibri"/>
          <w:sz w:val="24"/>
          <w:szCs w:val="24"/>
        </w:rPr>
      </w:pPr>
    </w:p>
    <w:p w:rsidR="00CB7843" w:rsidRDefault="00CB7843"/>
    <w:sectPr w:rsidR="00CB784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0B0" w:rsidRDefault="00FF60B0" w:rsidP="00E21548">
      <w:pPr>
        <w:spacing w:after="0" w:line="240" w:lineRule="auto"/>
      </w:pPr>
      <w:r>
        <w:separator/>
      </w:r>
    </w:p>
  </w:endnote>
  <w:endnote w:type="continuationSeparator" w:id="0">
    <w:p w:rsidR="00FF60B0" w:rsidRDefault="00FF60B0" w:rsidP="00E2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0B0" w:rsidRDefault="00FF60B0" w:rsidP="00E21548">
      <w:pPr>
        <w:spacing w:after="0" w:line="240" w:lineRule="auto"/>
      </w:pPr>
      <w:r>
        <w:separator/>
      </w:r>
    </w:p>
  </w:footnote>
  <w:footnote w:type="continuationSeparator" w:id="0">
    <w:p w:rsidR="00FF60B0" w:rsidRDefault="00FF60B0" w:rsidP="00E21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548" w:rsidRDefault="00E21548" w:rsidP="00E21548">
    <w:pPr>
      <w:pStyle w:val="Encabezado"/>
      <w:rPr>
        <w:noProof/>
        <w:lang w:eastAsia="es-MX"/>
      </w:rPr>
    </w:pPr>
    <w:r>
      <w:rPr>
        <w:rFonts w:ascii="Tahoma" w:eastAsia="Times New Roman" w:hAnsi="Tahoma" w:cs="Tahoma"/>
        <w:noProof/>
        <w:color w:val="000000"/>
        <w:sz w:val="20"/>
        <w:szCs w:val="20"/>
        <w:lang w:eastAsia="es-MX"/>
      </w:rPr>
      <w:drawing>
        <wp:inline distT="0" distB="0" distL="0" distR="0" wp14:anchorId="22E2069D" wp14:editId="54248309">
          <wp:extent cx="3267710" cy="688622"/>
          <wp:effectExtent l="0" t="0" r="0" b="0"/>
          <wp:docPr id="1" name="Imagen 1" descr="cid:b6a49722-0724-4769-b2dc-9e7a73868e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b6a49722-0724-4769-b2dc-9e7a73868e6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00831" cy="695602"/>
                  </a:xfrm>
                  <a:prstGeom prst="rect">
                    <a:avLst/>
                  </a:prstGeom>
                  <a:noFill/>
                  <a:ln>
                    <a:noFill/>
                  </a:ln>
                </pic:spPr>
              </pic:pic>
            </a:graphicData>
          </a:graphic>
        </wp:inline>
      </w:drawing>
    </w:r>
    <w:r>
      <w:rPr>
        <w:noProof/>
        <w:lang w:eastAsia="es-MX"/>
      </w:rPr>
      <w:tab/>
    </w:r>
    <w:r w:rsidRPr="001119E7">
      <w:rPr>
        <w:noProof/>
        <w:sz w:val="28"/>
        <w:szCs w:val="28"/>
        <w:lang w:eastAsia="es-MX"/>
      </w:rPr>
      <w:t>Participación Ciudadana</w:t>
    </w:r>
  </w:p>
  <w:p w:rsidR="00E21548" w:rsidRDefault="00E215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B3E48"/>
    <w:multiLevelType w:val="hybridMultilevel"/>
    <w:tmpl w:val="1B2E2C22"/>
    <w:lvl w:ilvl="0" w:tplc="73829C00">
      <w:start w:val="1"/>
      <w:numFmt w:val="bullet"/>
      <w:lvlText w:val="•"/>
      <w:lvlJc w:val="left"/>
      <w:pPr>
        <w:tabs>
          <w:tab w:val="num" w:pos="720"/>
        </w:tabs>
        <w:ind w:left="720" w:hanging="360"/>
      </w:pPr>
      <w:rPr>
        <w:rFonts w:ascii="Arial" w:hAnsi="Arial" w:hint="default"/>
      </w:rPr>
    </w:lvl>
    <w:lvl w:ilvl="1" w:tplc="34F4C5EE">
      <w:start w:val="1"/>
      <w:numFmt w:val="bullet"/>
      <w:lvlText w:val="•"/>
      <w:lvlJc w:val="left"/>
      <w:pPr>
        <w:tabs>
          <w:tab w:val="num" w:pos="1440"/>
        </w:tabs>
        <w:ind w:left="1440" w:hanging="360"/>
      </w:pPr>
      <w:rPr>
        <w:rFonts w:ascii="Arial" w:hAnsi="Arial" w:hint="default"/>
      </w:rPr>
    </w:lvl>
    <w:lvl w:ilvl="2" w:tplc="BA20CE8C" w:tentative="1">
      <w:start w:val="1"/>
      <w:numFmt w:val="bullet"/>
      <w:lvlText w:val="•"/>
      <w:lvlJc w:val="left"/>
      <w:pPr>
        <w:tabs>
          <w:tab w:val="num" w:pos="2160"/>
        </w:tabs>
        <w:ind w:left="2160" w:hanging="360"/>
      </w:pPr>
      <w:rPr>
        <w:rFonts w:ascii="Arial" w:hAnsi="Arial" w:hint="default"/>
      </w:rPr>
    </w:lvl>
    <w:lvl w:ilvl="3" w:tplc="5CE4FFA2" w:tentative="1">
      <w:start w:val="1"/>
      <w:numFmt w:val="bullet"/>
      <w:lvlText w:val="•"/>
      <w:lvlJc w:val="left"/>
      <w:pPr>
        <w:tabs>
          <w:tab w:val="num" w:pos="2880"/>
        </w:tabs>
        <w:ind w:left="2880" w:hanging="360"/>
      </w:pPr>
      <w:rPr>
        <w:rFonts w:ascii="Arial" w:hAnsi="Arial" w:hint="default"/>
      </w:rPr>
    </w:lvl>
    <w:lvl w:ilvl="4" w:tplc="AFC49516" w:tentative="1">
      <w:start w:val="1"/>
      <w:numFmt w:val="bullet"/>
      <w:lvlText w:val="•"/>
      <w:lvlJc w:val="left"/>
      <w:pPr>
        <w:tabs>
          <w:tab w:val="num" w:pos="3600"/>
        </w:tabs>
        <w:ind w:left="3600" w:hanging="360"/>
      </w:pPr>
      <w:rPr>
        <w:rFonts w:ascii="Arial" w:hAnsi="Arial" w:hint="default"/>
      </w:rPr>
    </w:lvl>
    <w:lvl w:ilvl="5" w:tplc="0FF23278" w:tentative="1">
      <w:start w:val="1"/>
      <w:numFmt w:val="bullet"/>
      <w:lvlText w:val="•"/>
      <w:lvlJc w:val="left"/>
      <w:pPr>
        <w:tabs>
          <w:tab w:val="num" w:pos="4320"/>
        </w:tabs>
        <w:ind w:left="4320" w:hanging="360"/>
      </w:pPr>
      <w:rPr>
        <w:rFonts w:ascii="Arial" w:hAnsi="Arial" w:hint="default"/>
      </w:rPr>
    </w:lvl>
    <w:lvl w:ilvl="6" w:tplc="9F68EE1A" w:tentative="1">
      <w:start w:val="1"/>
      <w:numFmt w:val="bullet"/>
      <w:lvlText w:val="•"/>
      <w:lvlJc w:val="left"/>
      <w:pPr>
        <w:tabs>
          <w:tab w:val="num" w:pos="5040"/>
        </w:tabs>
        <w:ind w:left="5040" w:hanging="360"/>
      </w:pPr>
      <w:rPr>
        <w:rFonts w:ascii="Arial" w:hAnsi="Arial" w:hint="default"/>
      </w:rPr>
    </w:lvl>
    <w:lvl w:ilvl="7" w:tplc="E9561AF2" w:tentative="1">
      <w:start w:val="1"/>
      <w:numFmt w:val="bullet"/>
      <w:lvlText w:val="•"/>
      <w:lvlJc w:val="left"/>
      <w:pPr>
        <w:tabs>
          <w:tab w:val="num" w:pos="5760"/>
        </w:tabs>
        <w:ind w:left="5760" w:hanging="360"/>
      </w:pPr>
      <w:rPr>
        <w:rFonts w:ascii="Arial" w:hAnsi="Arial" w:hint="default"/>
      </w:rPr>
    </w:lvl>
    <w:lvl w:ilvl="8" w:tplc="F73439B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548"/>
    <w:rsid w:val="00135D19"/>
    <w:rsid w:val="00CB7843"/>
    <w:rsid w:val="00E21548"/>
    <w:rsid w:val="00FF60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76184-8F3C-4007-8905-08C606F2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54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21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215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1548"/>
  </w:style>
  <w:style w:type="paragraph" w:styleId="Piedepgina">
    <w:name w:val="footer"/>
    <w:basedOn w:val="Normal"/>
    <w:link w:val="PiedepginaCar"/>
    <w:uiPriority w:val="99"/>
    <w:unhideWhenUsed/>
    <w:rsid w:val="00E215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1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b6a49722-0724-4769-b2dc-9e7a73868e6a"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3219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Antonio Pirez San Sebastian</dc:creator>
  <cp:keywords/>
  <dc:description/>
  <cp:lastModifiedBy>Rafael Antonio Pirez San Sebastian</cp:lastModifiedBy>
  <cp:revision>2</cp:revision>
  <dcterms:created xsi:type="dcterms:W3CDTF">2014-07-30T18:52:00Z</dcterms:created>
  <dcterms:modified xsi:type="dcterms:W3CDTF">2014-07-30T18:52:00Z</dcterms:modified>
</cp:coreProperties>
</file>